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01 февраля</w:t>
      </w:r>
      <w:r>
        <w:rPr>
          <w:rFonts w:ascii="Times New Roman" w:eastAsia="Times New Roman" w:hAnsi="Times New Roman" w:cs="Times New Roman"/>
        </w:rPr>
        <w:t xml:space="preserve"> 2024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-2802/2024 по иску </w:t>
      </w:r>
      <w:r>
        <w:rPr>
          <w:rFonts w:ascii="Times New Roman" w:eastAsia="Times New Roman" w:hAnsi="Times New Roman" w:cs="Times New Roman"/>
        </w:rPr>
        <w:t xml:space="preserve">ООО </w:t>
      </w:r>
      <w:r>
        <w:rPr>
          <w:rFonts w:ascii="Times New Roman" w:eastAsia="Times New Roman" w:hAnsi="Times New Roman" w:cs="Times New Roman"/>
        </w:rPr>
        <w:t xml:space="preserve">ПКО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РСВ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>Тырикову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ООО ПКО «РСВ» к </w:t>
      </w:r>
      <w:r>
        <w:rPr>
          <w:rFonts w:ascii="Times New Roman" w:eastAsia="Times New Roman" w:hAnsi="Times New Roman" w:cs="Times New Roman"/>
        </w:rPr>
        <w:t>Тырикову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>Тырикова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1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СНИЛС </w:t>
      </w:r>
      <w:r>
        <w:rPr>
          <w:rStyle w:val="cat-UserDefinedgrp-1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ООО ПКО «РСВ» </w:t>
      </w:r>
      <w:r>
        <w:rPr>
          <w:rFonts w:ascii="Times New Roman" w:eastAsia="Times New Roman" w:hAnsi="Times New Roman" w:cs="Times New Roman"/>
        </w:rPr>
        <w:t>23712,62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911,38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rplc-6">
    <w:name w:val="cat-UserDefined grp-10 rplc-6"/>
    <w:basedOn w:val="DefaultParagraphFont"/>
  </w:style>
  <w:style w:type="character" w:customStyle="1" w:styleId="cat-UserDefinedgrp-10rplc-9">
    <w:name w:val="cat-UserDefined grp-10 rplc-9"/>
    <w:basedOn w:val="DefaultParagraphFont"/>
  </w:style>
  <w:style w:type="character" w:customStyle="1" w:styleId="cat-UserDefinedgrp-12rplc-11">
    <w:name w:val="cat-UserDefined grp-12 rplc-11"/>
    <w:basedOn w:val="DefaultParagraphFont"/>
  </w:style>
  <w:style w:type="character" w:customStyle="1" w:styleId="cat-UserDefinedgrp-11rplc-12">
    <w:name w:val="cat-UserDefined grp-11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